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F1147" w14:textId="710CE8BC" w:rsidR="00036BB2" w:rsidRDefault="00036BB2" w:rsidP="00FD2744">
      <w:pPr>
        <w:pStyle w:val="NormalWeb"/>
        <w:numPr>
          <w:ilvl w:val="0"/>
          <w:numId w:val="2"/>
        </w:numPr>
        <w:jc w:val="both"/>
      </w:pPr>
      <w:r>
        <w:rPr>
          <w:rStyle w:val="Strong"/>
        </w:rPr>
        <w:t>Review and Compliance of Under-Frequency and Over-Frequency Protection Settings of Pumped Storage Plants in line with IEGC, CEA Connectivity Standards, and AUFLS Scheme</w:t>
      </w:r>
    </w:p>
    <w:p w14:paraId="25226BC1" w14:textId="77777777" w:rsidR="00036BB2" w:rsidRDefault="00036BB2" w:rsidP="00036BB2">
      <w:pPr>
        <w:pStyle w:val="NormalWeb"/>
        <w:jc w:val="both"/>
      </w:pPr>
      <w:r>
        <w:t>During a Grid Disturbance (GD) event in the Western Region, involving a sudden generation loss of around 8600 MW, the system frequency declined to approximately 49.4 Hz at 14:09:53.800 hrs, resulting in operation of the Automatic Under Frequency Relay (UFR) schemes across multiple control areas.</w:t>
      </w:r>
    </w:p>
    <w:p w14:paraId="26DBDD84" w14:textId="7FD4E357" w:rsidR="00036BB2" w:rsidRDefault="00036BB2" w:rsidP="00036BB2">
      <w:pPr>
        <w:pStyle w:val="NormalWeb"/>
        <w:jc w:val="both"/>
      </w:pPr>
      <w:r>
        <w:t>As per Regulation 29(12) of the Central Electricity Regulatory Commission (Indian Electricity Grid Code) Regulations, 2023, pumped storage hydro plants operating in pumping mode or ESS operating in charging mode are required to be automatically disconnected before the first stage of UFR operation. Further, the recommendations of the Task Force on Implementation of AUFLS and df/dt Scheme, as deliberated in the 15th NPC meeting and recorded in the 52nd TCC and 55th SRPC meetings, stipulate that pumped storage hydro plants operating in pumping mode shall be automatically disconnected at 49.5 Hz and ESS in charging mode at 49.6 Hz, prior to UFR operation.</w:t>
      </w:r>
    </w:p>
    <w:p w14:paraId="5BCDDCB4" w14:textId="77777777" w:rsidR="00036BB2" w:rsidRDefault="00036BB2" w:rsidP="00036BB2">
      <w:pPr>
        <w:pStyle w:val="NormalWeb"/>
        <w:jc w:val="both"/>
      </w:pPr>
      <w:r>
        <w:t>However, during the above disturbance, pumped storage units at GREENKO and Nagarjunasagar reportedly continued to operate in pumping mode even after system frequency declined to around 49.4 Hz. Approximately 1600 MW of pumping load at GREENKO and around 200 MW at Nagarjunasagar continued in service despite operation of UFR schemes and load shedding across regions. It is understood that the under-frequency protection settings for these units were configured below the stipulated threshold of 49.5 Hz, resulting in non-operation of the protection and failure to disconnect the pumping load during the disturbance.</w:t>
      </w:r>
    </w:p>
    <w:p w14:paraId="0398D7BC" w14:textId="77777777" w:rsidR="00036BB2" w:rsidRDefault="00036BB2" w:rsidP="00036BB2">
      <w:pPr>
        <w:pStyle w:val="NormalWeb"/>
        <w:jc w:val="both"/>
      </w:pPr>
      <w:r>
        <w:t>Further, as per the Central Electricity Authority (Technical Standards for Connectivity to the Grid) Regulations, generating units are required to operate in the frequency range of 47.5 Hz to 52 Hz and deliver rated output in the frequency range of 49.5 Hz to 50.5 Hz. It is also observed that, in certain cases, over-frequency protection settings have been configured below 52 Hz, which is not in line with the connectivity standards.</w:t>
      </w:r>
    </w:p>
    <w:p w14:paraId="199901D2" w14:textId="77777777" w:rsidR="00036BB2" w:rsidRDefault="00036BB2" w:rsidP="00036BB2">
      <w:pPr>
        <w:pStyle w:val="NormalWeb"/>
        <w:jc w:val="both"/>
      </w:pPr>
      <w:r>
        <w:t>In view of the above, the issue may kindly be deliberated for ensuring the following:</w:t>
      </w:r>
    </w:p>
    <w:p w14:paraId="1DE78373" w14:textId="63D126A6" w:rsidR="00036BB2" w:rsidRDefault="00036BB2" w:rsidP="00036BB2">
      <w:pPr>
        <w:pStyle w:val="NormalWeb"/>
        <w:numPr>
          <w:ilvl w:val="0"/>
          <w:numId w:val="1"/>
        </w:numPr>
        <w:jc w:val="both"/>
      </w:pPr>
      <w:r>
        <w:t xml:space="preserve">Under-frequency settings in pumping mode shall be maintained at 49.5 Hz with instantaneous tripping, with a permissible intentional delay of 100–200 ms, subject to approval by </w:t>
      </w:r>
      <w:r w:rsidR="00325911">
        <w:t>PCSC Forum</w:t>
      </w:r>
      <w:r>
        <w:t>.</w:t>
      </w:r>
    </w:p>
    <w:p w14:paraId="55AA820E" w14:textId="77777777" w:rsidR="00036BB2" w:rsidRDefault="00036BB2" w:rsidP="00036BB2">
      <w:pPr>
        <w:pStyle w:val="NormalWeb"/>
        <w:numPr>
          <w:ilvl w:val="0"/>
          <w:numId w:val="1"/>
        </w:numPr>
        <w:jc w:val="both"/>
      </w:pPr>
      <w:r>
        <w:t>Under-frequency settings in generation mode shall be as per OEM recommendations but below 47.5 Hz, in compliance with connectivity standards.</w:t>
      </w:r>
    </w:p>
    <w:p w14:paraId="094C4488" w14:textId="77777777" w:rsidR="00036BB2" w:rsidRDefault="00036BB2" w:rsidP="00036BB2">
      <w:pPr>
        <w:pStyle w:val="NormalWeb"/>
        <w:numPr>
          <w:ilvl w:val="0"/>
          <w:numId w:val="1"/>
        </w:numPr>
        <w:jc w:val="both"/>
      </w:pPr>
      <w:r>
        <w:t>Over-frequency settings in generation mode and pumping mode shall be above 52 Hz, as per OEM recommendations and system/islanding requirements.</w:t>
      </w:r>
    </w:p>
    <w:p w14:paraId="4DEDC908" w14:textId="77777777" w:rsidR="00036BB2" w:rsidRDefault="00036BB2" w:rsidP="00036BB2">
      <w:pPr>
        <w:pStyle w:val="NormalWeb"/>
        <w:numPr>
          <w:ilvl w:val="0"/>
          <w:numId w:val="1"/>
        </w:numPr>
        <w:jc w:val="both"/>
      </w:pPr>
      <w:r>
        <w:t>Distinct protection settings shall be ensured for generation mode and pumping mode with appropriate mode-based switching logic.</w:t>
      </w:r>
    </w:p>
    <w:p w14:paraId="36461784" w14:textId="77777777" w:rsidR="00036BB2" w:rsidRDefault="00036BB2" w:rsidP="00036BB2">
      <w:pPr>
        <w:pStyle w:val="NormalWeb"/>
        <w:numPr>
          <w:ilvl w:val="0"/>
          <w:numId w:val="1"/>
        </w:numPr>
        <w:jc w:val="both"/>
      </w:pPr>
      <w:r>
        <w:t>Any revision of settings shall be submitted for approval to SRPC in accordance with Regulation 14(2) of the IEGC, 2023.</w:t>
      </w:r>
    </w:p>
    <w:p w14:paraId="3A00F41A" w14:textId="77777777" w:rsidR="00036BB2" w:rsidRDefault="00036BB2" w:rsidP="00036BB2">
      <w:pPr>
        <w:pStyle w:val="NormalWeb"/>
        <w:jc w:val="both"/>
      </w:pPr>
      <w:r>
        <w:t>All pumped storage plants may review their existing protection settings in line with the above provisions, NPC recommendations, and AUFLS scheme requirements, and submit compliance status to SRLDC/SRPC.</w:t>
      </w:r>
    </w:p>
    <w:p w14:paraId="6010DA61" w14:textId="09F9ACDF" w:rsidR="00D621E3" w:rsidRPr="00036BB2" w:rsidRDefault="00D621E3" w:rsidP="00FD2744">
      <w:pPr>
        <w:pStyle w:val="ListParagraph"/>
        <w:numPr>
          <w:ilvl w:val="0"/>
          <w:numId w:val="2"/>
        </w:numPr>
        <w:rPr>
          <w:rStyle w:val="Strong"/>
          <w:lang w:eastAsia="en-IN"/>
        </w:rPr>
      </w:pPr>
      <w:r w:rsidRPr="00FD2744">
        <w:rPr>
          <w:rStyle w:val="Strong"/>
          <w:rFonts w:ascii="Times New Roman" w:eastAsia="Times New Roman" w:hAnsi="Times New Roman" w:cs="Times New Roman"/>
          <w:sz w:val="24"/>
          <w:szCs w:val="24"/>
          <w:lang w:eastAsia="en-IN"/>
        </w:rPr>
        <w:lastRenderedPageBreak/>
        <w:t>Review and Standardization of Synchronization Angle Difference settings during charging</w:t>
      </w:r>
    </w:p>
    <w:p w14:paraId="69A6BC82" w14:textId="77777777" w:rsidR="00D621E3" w:rsidRPr="00036BB2" w:rsidRDefault="00D621E3" w:rsidP="00D621E3">
      <w:pPr>
        <w:jc w:val="both"/>
        <w:rPr>
          <w:rFonts w:ascii="Times New Roman" w:eastAsia="Times New Roman" w:hAnsi="Times New Roman" w:cs="Times New Roman"/>
          <w:sz w:val="24"/>
          <w:szCs w:val="24"/>
          <w:lang w:eastAsia="en-IN"/>
        </w:rPr>
      </w:pPr>
      <w:r w:rsidRPr="00036BB2">
        <w:rPr>
          <w:rFonts w:ascii="Times New Roman" w:eastAsia="Times New Roman" w:hAnsi="Times New Roman" w:cs="Times New Roman"/>
          <w:sz w:val="24"/>
          <w:szCs w:val="24"/>
          <w:lang w:eastAsia="en-IN"/>
        </w:rPr>
        <w:t xml:space="preserve">At 19:35 hrs on 17-05-2026, the 220 kV Thrissur HVDC–Nallalam feeder tripped on distance protection due to lightning. During the disturbance, owing to the shutdown of Kozhikode ICT-3, support from the Areakode side could not be extended as ICT-1 &amp; ICT-2 were already heavily loaded. </w:t>
      </w:r>
    </w:p>
    <w:p w14:paraId="3297034D" w14:textId="6D13DF4D" w:rsidR="00D621E3" w:rsidRPr="00036BB2" w:rsidRDefault="00D621E3" w:rsidP="00D621E3">
      <w:pPr>
        <w:jc w:val="both"/>
        <w:rPr>
          <w:rFonts w:ascii="Times New Roman" w:eastAsia="Times New Roman" w:hAnsi="Times New Roman" w:cs="Times New Roman"/>
          <w:sz w:val="24"/>
          <w:szCs w:val="24"/>
          <w:lang w:eastAsia="en-IN"/>
        </w:rPr>
      </w:pPr>
      <w:r w:rsidRPr="00036BB2">
        <w:rPr>
          <w:rFonts w:ascii="Times New Roman" w:eastAsia="Times New Roman" w:hAnsi="Times New Roman" w:cs="Times New Roman"/>
          <w:sz w:val="24"/>
          <w:szCs w:val="24"/>
          <w:lang w:eastAsia="en-IN"/>
        </w:rPr>
        <w:t>Under these conditions, around 350 MW load was being fed from the Thrissur HVDC 220 kV side through the 220 kV Thrissur HVDC–Kunnamkulam–Malaparamba–Nallalam corridor. During the charging of the 220 kV Thrissur HVDC–Nallalam feeder, synchronization could not be achieved as informed by POWERGRID SR-II, owing to the synchronization angle difference</w:t>
      </w:r>
      <w:r w:rsidR="00333A45">
        <w:rPr>
          <w:rFonts w:ascii="Times New Roman" w:eastAsia="Times New Roman" w:hAnsi="Times New Roman" w:cs="Times New Roman"/>
          <w:sz w:val="24"/>
          <w:szCs w:val="24"/>
          <w:lang w:eastAsia="en-IN"/>
        </w:rPr>
        <w:t xml:space="preserve">.  </w:t>
      </w:r>
      <w:r w:rsidRPr="00036BB2">
        <w:rPr>
          <w:rFonts w:ascii="Times New Roman" w:eastAsia="Times New Roman" w:hAnsi="Times New Roman" w:cs="Times New Roman"/>
          <w:sz w:val="24"/>
          <w:szCs w:val="24"/>
          <w:lang w:eastAsia="en-IN"/>
        </w:rPr>
        <w:t>Subsequently, after bypassing the angle measurement in the synchronization check, the line was successfully charged from the Thrissur end at 21:34 hrs.</w:t>
      </w:r>
    </w:p>
    <w:p w14:paraId="105DB963" w14:textId="3E438B78" w:rsidR="00E76256" w:rsidRPr="00036BB2" w:rsidRDefault="00D621E3" w:rsidP="00D621E3">
      <w:pPr>
        <w:jc w:val="both"/>
        <w:rPr>
          <w:rFonts w:ascii="Times New Roman" w:eastAsia="Times New Roman" w:hAnsi="Times New Roman" w:cs="Times New Roman"/>
          <w:sz w:val="24"/>
          <w:szCs w:val="24"/>
          <w:lang w:eastAsia="en-IN"/>
        </w:rPr>
      </w:pPr>
      <w:r w:rsidRPr="00036BB2">
        <w:rPr>
          <w:rFonts w:ascii="Times New Roman" w:eastAsia="Times New Roman" w:hAnsi="Times New Roman" w:cs="Times New Roman"/>
          <w:sz w:val="24"/>
          <w:szCs w:val="24"/>
          <w:lang w:eastAsia="en-IN"/>
        </w:rPr>
        <w:t>In view of the above, the issue of synchronization angle difference settings may kindly be reviewed and a standardized methodology may be evolved based, so as to facilitate timely restoration of transmission elements during contingency conditions.</w:t>
      </w:r>
    </w:p>
    <w:p w14:paraId="6457D81E" w14:textId="1996A95D" w:rsidR="00FD2744" w:rsidRDefault="00FD2744" w:rsidP="00FD2744">
      <w:pPr>
        <w:pStyle w:val="NormalWeb"/>
        <w:numPr>
          <w:ilvl w:val="0"/>
          <w:numId w:val="2"/>
        </w:numPr>
      </w:pPr>
      <w:r>
        <w:rPr>
          <w:rStyle w:val="Strong"/>
        </w:rPr>
        <w:t>Submission of Static IPv4 Addresses for Whitelisting – Access to SRLDC Web Applications</w:t>
      </w:r>
    </w:p>
    <w:p w14:paraId="190AE8DE" w14:textId="77777777" w:rsidR="00FD2744" w:rsidRDefault="00FD2744" w:rsidP="00FD2744">
      <w:pPr>
        <w:pStyle w:val="NormalWeb"/>
        <w:jc w:val="both"/>
      </w:pPr>
      <w:r>
        <w:t>In line with the deliberations held during the earlier PCSC meetings, all users/entities are requested to furnish their Static IPv4 address details at the earliest by submitting the information through the prescribed Google Form using the link provided below:</w:t>
      </w:r>
    </w:p>
    <w:p w14:paraId="52944AB0" w14:textId="77777777" w:rsidR="00FD2744" w:rsidRDefault="00FD2744" w:rsidP="00FD2744">
      <w:pPr>
        <w:pStyle w:val="NormalWeb"/>
        <w:jc w:val="center"/>
      </w:pPr>
      <w:hyperlink r:id="rId5" w:tgtFrame="_new" w:history="1">
        <w:r>
          <w:rPr>
            <w:rStyle w:val="Hyperlink"/>
          </w:rPr>
          <w:t>https://docs.google.com/forms/d/e/1FAIpQLSdhs5HW-CRfsyRcg-ZmsaARC8CbbAwkcpYbqBEC7DGzxrFumA/viewform?usp=preview</w:t>
        </w:r>
      </w:hyperlink>
    </w:p>
    <w:p w14:paraId="1E022B10" w14:textId="77777777" w:rsidR="00FD2744" w:rsidRDefault="00FD2744" w:rsidP="00FD2744">
      <w:pPr>
        <w:pStyle w:val="NormalWeb"/>
        <w:jc w:val="both"/>
      </w:pPr>
      <w:r>
        <w:t>While submitting the details, a</w:t>
      </w:r>
      <w:r>
        <w:rPr>
          <w:b/>
          <w:bCs/>
        </w:rPr>
        <w:t xml:space="preserve"> </w:t>
      </w:r>
      <w:r>
        <w:rPr>
          <w:rStyle w:val="Strong"/>
          <w:b w:val="0"/>
          <w:bCs w:val="0"/>
        </w:rPr>
        <w:t>letter of authorization for the IP addresses</w:t>
      </w:r>
      <w:r>
        <w:t xml:space="preserve"> may also be uploaded (file upload facility is available in the form). Users who have already submitted the required details need not submit them again; however, in case of any modification, the updated details may be submitted afresh. </w:t>
      </w:r>
      <w:r>
        <w:rPr>
          <w:rStyle w:val="Strong"/>
          <w:b w:val="0"/>
          <w:bCs w:val="0"/>
        </w:rPr>
        <w:t>Early submission</w:t>
      </w:r>
      <w:r>
        <w:t xml:space="preserve"> of the above details is requested to facilitate further necessary action related to </w:t>
      </w:r>
      <w:r>
        <w:rPr>
          <w:rStyle w:val="Strong"/>
          <w:b w:val="0"/>
          <w:bCs w:val="0"/>
        </w:rPr>
        <w:t>access control and cybersecurity compliance</w:t>
      </w:r>
      <w:r>
        <w:rPr>
          <w:b/>
          <w:bCs/>
        </w:rPr>
        <w:t>.</w:t>
      </w:r>
    </w:p>
    <w:p w14:paraId="543AD895" w14:textId="77777777" w:rsidR="00FD2744" w:rsidRDefault="00FD2744" w:rsidP="00FD2744">
      <w:pPr>
        <w:pStyle w:val="NormalWeb"/>
        <w:jc w:val="both"/>
      </w:pPr>
      <w:r>
        <w:t xml:space="preserve">For checking the IPv4 address, users may visit </w:t>
      </w:r>
      <w:hyperlink r:id="rId6" w:tgtFrame="_new" w:history="1">
        <w:r>
          <w:rPr>
            <w:rStyle w:val="Hyperlink"/>
          </w:rPr>
          <w:t>www.whatismyipaddress.com</w:t>
        </w:r>
      </w:hyperlink>
      <w:r>
        <w:t xml:space="preserve">. In case of any difficulty in the whitelisting process or for any clarification, the matter may be taken up with </w:t>
      </w:r>
      <w:r>
        <w:rPr>
          <w:rStyle w:val="Strong"/>
          <w:b w:val="0"/>
          <w:bCs w:val="0"/>
        </w:rPr>
        <w:t>SRLDC</w:t>
      </w:r>
      <w:r>
        <w:t xml:space="preserve"> through email/official correspondence, or the undersigned may be contacted.</w:t>
      </w:r>
    </w:p>
    <w:p w14:paraId="404A6212" w14:textId="77777777" w:rsidR="00D621E3" w:rsidRPr="00D621E3" w:rsidRDefault="00D621E3" w:rsidP="00D621E3">
      <w:pPr>
        <w:jc w:val="both"/>
      </w:pPr>
    </w:p>
    <w:sectPr w:rsidR="00D621E3" w:rsidRPr="00D621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97798"/>
    <w:multiLevelType w:val="hybridMultilevel"/>
    <w:tmpl w:val="54F00956"/>
    <w:lvl w:ilvl="0" w:tplc="1130A8B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1921803"/>
    <w:multiLevelType w:val="multilevel"/>
    <w:tmpl w:val="B74EC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0144067">
    <w:abstractNumId w:val="1"/>
  </w:num>
  <w:num w:numId="2" w16cid:durableId="1013847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6A0"/>
    <w:rsid w:val="00036BB2"/>
    <w:rsid w:val="000E6013"/>
    <w:rsid w:val="00325911"/>
    <w:rsid w:val="00333A45"/>
    <w:rsid w:val="005568B4"/>
    <w:rsid w:val="009C5CB1"/>
    <w:rsid w:val="00D621E3"/>
    <w:rsid w:val="00E76256"/>
    <w:rsid w:val="00EE7D8F"/>
    <w:rsid w:val="00FB26A0"/>
    <w:rsid w:val="00FD274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AEF30"/>
  <w15:chartTrackingRefBased/>
  <w15:docId w15:val="{C507FEC3-D026-4641-B454-1F698785A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36BB2"/>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036BB2"/>
    <w:rPr>
      <w:b/>
      <w:bCs/>
    </w:rPr>
  </w:style>
  <w:style w:type="character" w:styleId="Hyperlink">
    <w:name w:val="Hyperlink"/>
    <w:basedOn w:val="DefaultParagraphFont"/>
    <w:uiPriority w:val="99"/>
    <w:semiHidden/>
    <w:unhideWhenUsed/>
    <w:rsid w:val="00FD2744"/>
    <w:rPr>
      <w:color w:val="0563C1" w:themeColor="hyperlink"/>
      <w:u w:val="single"/>
    </w:rPr>
  </w:style>
  <w:style w:type="paragraph" w:styleId="ListParagraph">
    <w:name w:val="List Paragraph"/>
    <w:basedOn w:val="Normal"/>
    <w:uiPriority w:val="34"/>
    <w:qFormat/>
    <w:rsid w:val="00FD27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859798">
      <w:bodyDiv w:val="1"/>
      <w:marLeft w:val="0"/>
      <w:marRight w:val="0"/>
      <w:marTop w:val="0"/>
      <w:marBottom w:val="0"/>
      <w:divBdr>
        <w:top w:val="none" w:sz="0" w:space="0" w:color="auto"/>
        <w:left w:val="none" w:sz="0" w:space="0" w:color="auto"/>
        <w:bottom w:val="none" w:sz="0" w:space="0" w:color="auto"/>
        <w:right w:val="none" w:sz="0" w:space="0" w:color="auto"/>
      </w:divBdr>
    </w:div>
    <w:div w:id="19131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hatismyipaddress.com" TargetMode="External"/><Relationship Id="rId5" Type="http://schemas.openxmlformats.org/officeDocument/2006/relationships/hyperlink" Target="https://docs.google.com/forms/d/e/1FAIpQLSdhs5HW-CRfsyRcg-ZmsaARC8CbbAwkcpYbqBEC7DGzxrFumA/viewform?usp=pre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849</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vamshi ballikonda</dc:creator>
  <cp:keywords/>
  <dc:description/>
  <cp:lastModifiedBy>Vamshi Ballikonda SRLDC</cp:lastModifiedBy>
  <cp:revision>6</cp:revision>
  <dcterms:created xsi:type="dcterms:W3CDTF">2026-05-25T08:45:00Z</dcterms:created>
  <dcterms:modified xsi:type="dcterms:W3CDTF">2026-05-25T17:07:00Z</dcterms:modified>
</cp:coreProperties>
</file>